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240</w:t>
      </w:r>
    </w:p>
    <w:p>
      <w:r>
        <w:t>Bundesgericht (BGE), 2021-09-17, FR</w:t>
      </w:r>
    </w:p>
    <w:p>
      <w:r>
        <w:rPr>
          <w:b/>
        </w:rPr>
        <w:t xml:space="preserve">Quelle: </w:t>
      </w:r>
      <w:r>
        <w:t>https://mcp.opencaselaw.ch/entscheid/bge_149 IV 240</w:t>
      </w:r>
    </w:p>
    <w:p>
      <w:r>
        <w:t>FR: ATF 149 IV 240</w:t>
      </w:r>
    </w:p>
    <w:p>
      <w:r>
        <w:t>IT: DTF 149 IV 240</w:t>
      </w:r>
    </w:p>
    <w:p>
      <w:pPr>
        <w:pStyle w:val="Heading2"/>
      </w:pPr>
      <w:r>
        <w:t>Regeste</w:t>
      </w:r>
    </w:p>
    <w:p>
      <w:r>
        <w:t>Regeste Verletzung der Fürsorge- oder Erziehungspflicht (Art. 219 StGB); Verfolgungsverjährung, tatbestandliche Handlungseinheit (Art. 98 lit. b StGB). Der in Art. 219 StGB definierte Straftatbestand setzt in der Regel voraus, dass der Täter wiederholt handelt oder seine Fürsorge- oder Erziehungspflicht nachhaltig verletzt, so dass die körperliche oder psychische Entwicklung der minderjährigen Person gefährdet ist (E. 2.2). Die verschiedenen Misshandlungen, die nach Art. 219 StGB strafbar sind, bilden eine tatbestandliche Handlungseinheit. Die Verjährung beginnt damit an dem Tag zu laufen, an dem die letzte Tätigkeit begangen wurde (Art. 98 lit. b StGB; E. 3).</w:t>
      </w:r>
    </w:p>
    <w:p>
      <w:pPr>
        <w:pStyle w:val="Heading2"/>
      </w:pPr>
      <w:r>
        <w:t>Erwägungen</w:t>
      </w:r>
    </w:p>
    <w:p>
      <w:r>
        <w:rPr>
          <w:b/>
        </w:rPr>
        <w:t>E. 2</w:t>
      </w:r>
    </w:p>
    <w:p>
      <w:r>
        <w:t>Le recourant soutient que l'infraction prévue à l' art. 219 CP (violation du devoir d'assistance ou d'éducation) n'est pas réalisée. En particulier, il conteste que son comportement ait porté atteinte au développement physique ou psychique de ses enfants.</w:t>
      </w:r>
    </w:p>
    <w:p>
      <w:r>
        <w:rPr>
          <w:b/>
        </w:rPr>
        <w:t>E. 2.1</w:t>
      </w:r>
    </w:p>
    <w:p>
      <w:r>
        <w:t>Selon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2.2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BGE 149 IV 240 S. 244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125 IV 64 consid. 1a p. 68 s.).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 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126 IV 136 consid. 1b p. 138 s.; ATF 125 IV 64 consid. 1a p. 69). Des séquelles durables, d'ordre physique ou psychique, doivent apparaître vraisemblables, de telle sorte que le développement du mineur est mis en danger (BERNARD CORBOZ, Les infractions en droit suisse, vol. I, 3 e éd. 2010, n° 17 in fine ad art.?219 CP). Il faut normalement que l'auteur agisse de façon répétée ou qu'il viole durablement son devoir d'éducation ( ATF 125 IV 64 consid.?1d p. 71; LAURENT MOREILLON, Quelques réflexions sur la violation du devoir d'assistance et d'éducation [art. 219 nouveau CP], RPS?1998 p. 431 ss, spéc. ?437; STRATENWERTH/BOMMER, Schweizerisches Strafrecht, Besonderer Teil II: Straftaten gegen Gemeininteressen, 7 e éd. 2013, p. 36 s., § 26 n. 43; DONATSCH/THOMMEN/WOHLERS, Strafrecht IV, Delikte gegen die Allgemeinheit, 5e éd. 2017, p. 23). Il n'est cependant pas exclu qu'un seul acte grave suffise pour que des séquelles durables risquent d'affecter le développement du mineur (CORBOZ, op. cit., n°?17 in fine ad art. 219 CP ). L'infraction peut être commise intentionnellement ou par négligence. Le dol éventuel suffit pour que l'infraction soit réalisée intentionnellement ( ATF 125 IV 64 consid. 1a p. 70). BGE 149 IV 240 S. 245</w:t>
      </w:r>
    </w:p>
    <w:p>
      <w:r>
        <w:rPr>
          <w:b/>
        </w:rPr>
        <w:t>E. 2.3</w:t>
      </w:r>
    </w:p>
    <w:p>
      <w:r>
        <w:t>En tant que père, le recourant avait un devoir d'éducation et d'assistance à l'égard de ses enfants. Selon l'état de fait cantonal, il a frappé ses enfants avec ses mains ou au moyen de divers objets. Il leur a régulièrement crié dessus pour des futilités. Il les a régulièrement rabaissés et injuriés. Il s'est également montré violent à l'égard de leur mère en leur présence. Le comportement violent et dénigrant adopté par le recourant à l'égard de ses enfants, sur une longue période, à savoir durant près de six ans, a concrètement mis en danger leur développement, notamment psychique, comme en atteste clairement le rapport d'expertise pédopsychiatrique. Il en ressort en effet que les enfants ont profondément souffert du climat familial et de la violence subie, qu'ils sont extrêmement inhibés et qu'ils présentent d'importantes angoisses ainsi qu'une grande détresse. De ce fait, les expertes ont préconisé une prise en charge psychothérapeutique individuelle au long cours afin de les soutenir dans leur reprise évolutive, en soulignant qu'il existait un risque de cassure et de limitations de leur potentiel évolutif notamment cognitif, ainsi qu'un risque d'évolution vers des passages à l'acte lors de la crise pubertaire sans soutien psychothérapeutique régulier. La cour cantonale a implicitement retenu que le recourant avait agi intentionnellement. Au vu de la violence des comportements reprochés au recourant, on ne peut qu'admettre que celui-ci n'a pu qu'envisager et accepter de mettre en danger le développement physique et psychique de ses enfants. C'est donc en vain que le recourant reproche à la cour cantonale de ne pas avoir examiné si la commission de l'infraction par négligence entrait en considération. En conséquence, la cour cantonale a considéré à juste titre que les éléments objectifs et subjectifs définis à l' art. 219 CP étaient réalisés. Les griefs soulevés sont infondés.</w:t>
      </w:r>
    </w:p>
    <w:p>
      <w:r>
        <w:rPr>
          <w:b/>
        </w:rPr>
        <w:t>E. 3</w:t>
      </w:r>
    </w:p>
    <w:p>
      <w:r>
        <w:t>Le recourant soutient que les actes qui lui sont reprochés sont prescrits. Il fait valoir que l'ancien art. 97 CP prévoyait un délai de prescription de sept ans, de sorte que les faits antérieurs au 17 septembre 2014 seraient prescrits, le jugement de première instance ayant été rendu le 17 septembre 2021.</w:t>
      </w:r>
    </w:p>
    <w:p>
      <w:r>
        <w:rPr>
          <w:b/>
        </w:rPr>
        <w:t>E. 3.1</w:t>
      </w:r>
    </w:p>
    <w:p>
      <w:r>
        <w:t>Le point de départ de la prescription est régi par l' art. 98 CP . La prescription court du jour où l'auteur a exercé son activité coupable (let. a), du jour où le dernier acte a été commis, si cette activité s'est exercée à plusieurs reprises (let. b) ou du jour où les agissements coupables ont cessé, s'ils ont eu une certaine durée (let. c). BGE 149 IV 240 S. 246 La jurisprudence au sujet de l' art. 98 let. b CP a évolué au fil du temps, le Tribunal fédéral abandonnant la notion de délit successif au profit de celle d'unité du point de vue de la prescription. Cette dernière notion a ensuite été remplacée par la figure de l'unité juridique ou naturelle d'actions ( ATF 131 IV 83 consid. 2.4.3 à 2.4.5; arrêt 6B_310/ 2014 / 6B_311/2014 du 23 novembre 2015 consid. 4.2, in SJ 2016 I p. 414).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ATF 131 IV 83 consid. 2.4.5). La commission d'actes séparés ou le comportement durable doivent, expressément ou implicitement, ressortir de la définition légale de l'infraction, celle-ci devant être exercée en des moments différents. Il n'en va pas ainsi des actes d'ordre sexuel avec des enfants ( art. 187 CP ), de la contrainte sexuelle ( art. 189 CP ) ou du viol ( art. 190 CP ), qui sont des infractions déjà consommées par la commission d'un seul acte d'ordre sexuel (arrêts 6S.397/2005 du 13 novembre 2005 consid. 2.3.1, in SJ 2006 I p. 85; 6P.111/2005 et autres du 12 novembre 2005 consid. 9.3.1).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ATF 131 IV 83 consid. 2.4.5). Dans une configuration particulière, où le recourant avait contraint un enfant à mentir sur son identité sur une période de quatre ans, le Tribunal fédéral a jugé que l'infraction définie à l' art. 219 CP ne constituait pas un délit continu et ne pouvait pas non plus être considérée comme une unité naturelle d'actions puisqu'un laps de temps BGE 149 IV 240 S. 247 assez long s'était écoulé entre les différents actes. Cet arrêt n'examine toutefois pas si l'infraction définie à l' art. 219 CP peut constituer une unité juridique d'actions (arrêt 6B_978/2021 du 5 octobre 2022 consid. 5.5.2). Comme vu ci-dessus, l'infraction de l' art. 219 CP présuppose que l'auteur agisse de façon répétée ou qu'il viole durablement son devoir d'éducation de manière à mettre en danger le développement physique ou psychique de la personne mineure (cf. consid. 2.2). Si l'auteur donne une gifle à un mineur, seule l'infraction de voies de fait ou de lésions corporelles simples sera réalisée. L' art. 219 CP ne sera retenu que si l'auteur agit à réitérées reprises et que l'ensemble de ses agissements mettent en danger le développement de l'enfant. C'est la somme des différents actes qui permet de réaliser les éléments constitutifs de l'infraction, à savoir la mise en danger du développement physique ou psychique du mineur. La commission d'actes séparés ou le comportement durable ressortent ainsi implicitement de la définition légale de l'infraction, de sorte qu'il faut admettre une unité juridique d'actions (cf. dans ce sens, BARBARA LOPPACHER, Erziehung und Strafrecht, Unter besonderer Berücksichtigung der Verletzung der Fürsorge- oder Erziehungspflicht [Art. 219 StGB], 2011, p. 187 s.). La prescription ne commencera dès lors à courir qu'à partir du jour où le dernier acte a été commis ( art. 98 let. b CP ), à savoir, en l'espèce, dès la fin 2014.</w:t>
      </w:r>
    </w:p>
    <w:p>
      <w:r>
        <w:rPr>
          <w:b/>
        </w:rPr>
        <w:t>E. 3.2</w:t>
      </w:r>
    </w:p>
    <w:p>
      <w:r>
        <w:t>Pour les infractions punissables d'une peine privative de liberté de trois ans au plus - telle que la violation du devoir d'assistance ou d'éducation -, le délai de prescription est de dix ans ( art. 97 al. 1 let . c CP), dans sa teneur en vigueur depuis le 1 er janvier 2014 (cf. RO 2013 4417). Dans sa teneur jusqu'au 31 décembre 2013, l'ancien art. 97 al. 1 let . c CP prévoyait un délai de prescription de sept ans. 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134 IV 82 consid. 6.1 p. 86 s.). L' art. 389 CP concrétise le principe de la lex mitior s'agissant de la prescription. BGE 149 IV 240 S. 248 Selon l'état de fait cantonal, le recourant a agi entre août 2008 et fin 2014, à savoir en partie sous l'empire de l'ancien droit et en partie sous l'empire du nouveau droit. En cas de délit continu commis à cheval sous l'ancien et le nouveau droit, la jurisprudence et la doctrine largement majoritaire s'accordent pour dire que c'est le nouveau droit qui va s'appliquer à l'ensemble de l'infraction (arrêt 6B_196/2012 du 24 janvier 2013 consid. 1.3; DONGOIS/LUBISHTANI, in Commentaire romand, Code pénal, vol. I, 2 e éd. 2021, n° 39 ad art. 2 CP ; TRECHSEL/VEST, in Schweizerisches Strafgesetzbuch, Praxiskommentar, 4 e éd. 2021, n° 5 ad art. 2 CP ). Dans la mesure où les différents actes d'un délit formant une unité juridique d'actions constituent un tout, il n'est pas possible d'appliquer pour partie l'ancien et pour partie le nouveau droit. Dans un souci de cohérence avec la solution retenue en cas de délit continu commis en partie sous l'ancien et en partie sous le nouveau droit, il convient d'appliquer à l'ensemble des actes le nouveau délai de prescription de dix ans. L'infraction de l' art. 219 CP n'était donc pas prescrite lors du jugement de première instance, rendu le 17 septembre 2021, dès lors que le recourant a fait subir des actes de maltraitance à ses enfants jusqu'à fin 2014 (cf. art. 97 al. 3 CP ). Les faits reprochés ne seraient au demeurant pas non plus prescrits si l'on appliquait le délai de prescription de sept ans de l'ancien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